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60" w:rsidRPr="004C48B2" w:rsidRDefault="00146160" w:rsidP="00EE550A">
      <w:pPr>
        <w:spacing w:after="0"/>
        <w:jc w:val="both"/>
        <w:rPr>
          <w:lang w:val="en-GB"/>
        </w:rPr>
      </w:pPr>
      <w:bookmarkStart w:id="0" w:name="_GoBack"/>
      <w:bookmarkEnd w:id="0"/>
    </w:p>
    <w:p w:rsidR="00146160" w:rsidRPr="004C48B2" w:rsidRDefault="00146160" w:rsidP="00EE550A">
      <w:pPr>
        <w:spacing w:after="0"/>
        <w:jc w:val="both"/>
        <w:rPr>
          <w:lang w:val="en-GB"/>
        </w:rPr>
      </w:pPr>
    </w:p>
    <w:p w:rsidR="00D93431" w:rsidRPr="004C48B2" w:rsidRDefault="00FF7A30" w:rsidP="00EE550A">
      <w:pPr>
        <w:spacing w:after="0"/>
        <w:jc w:val="both"/>
        <w:rPr>
          <w:rFonts w:ascii="Arial" w:hAnsi="Arial" w:cs="Arial"/>
          <w:lang w:val="en-GB"/>
        </w:rPr>
      </w:pPr>
      <w:proofErr w:type="gramStart"/>
      <w:r w:rsidRPr="004C48B2">
        <w:rPr>
          <w:rFonts w:ascii="Arial" w:hAnsi="Arial" w:cs="Arial"/>
          <w:lang w:val="en-GB"/>
        </w:rPr>
        <w:t>dr</w:t>
      </w:r>
      <w:proofErr w:type="gramEnd"/>
      <w:r w:rsidRPr="004C48B2">
        <w:rPr>
          <w:rFonts w:ascii="Arial" w:hAnsi="Arial" w:cs="Arial"/>
          <w:lang w:val="en-GB"/>
        </w:rPr>
        <w:t>.</w:t>
      </w:r>
      <w:r w:rsidR="00A073D4" w:rsidRPr="004C48B2">
        <w:rPr>
          <w:rFonts w:ascii="Arial" w:hAnsi="Arial" w:cs="Arial"/>
          <w:lang w:val="en-GB"/>
        </w:rPr>
        <w:t xml:space="preserve"> Marko Divjak, researcher and assistant professor</w:t>
      </w:r>
    </w:p>
    <w:p w:rsidR="00FF7A30" w:rsidRPr="004C48B2" w:rsidRDefault="00A073D4" w:rsidP="00EE550A">
      <w:pPr>
        <w:spacing w:after="0"/>
        <w:jc w:val="both"/>
        <w:rPr>
          <w:rFonts w:ascii="Arial" w:hAnsi="Arial" w:cs="Arial"/>
          <w:lang w:val="en-GB"/>
        </w:rPr>
      </w:pPr>
      <w:r w:rsidRPr="004C48B2">
        <w:rPr>
          <w:rFonts w:ascii="Arial" w:hAnsi="Arial" w:cs="Arial"/>
          <w:lang w:val="en-GB"/>
        </w:rPr>
        <w:t>DOBA Business School</w:t>
      </w: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lang w:val="en-GB"/>
        </w:rPr>
      </w:pP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lang w:val="en-GB"/>
        </w:rPr>
      </w:pPr>
      <w:r w:rsidRPr="004C48B2">
        <w:rPr>
          <w:rFonts w:ascii="Arial" w:hAnsi="Arial" w:cs="Arial"/>
          <w:lang w:val="en-GB"/>
        </w:rPr>
        <w:t>OER Congress, Ljubljana 18-20 September 2017</w:t>
      </w: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lang w:val="en-GB"/>
        </w:rPr>
      </w:pP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b/>
          <w:lang w:val="en-GB"/>
        </w:rPr>
      </w:pPr>
      <w:r w:rsidRPr="004C48B2">
        <w:rPr>
          <w:rFonts w:ascii="Arial" w:hAnsi="Arial" w:cs="Arial"/>
          <w:b/>
          <w:lang w:val="en-GB"/>
        </w:rPr>
        <w:t>Satellite Event: KEN Workshop on t</w:t>
      </w:r>
      <w:r w:rsidR="005C5DF6">
        <w:rPr>
          <w:rFonts w:ascii="Arial" w:hAnsi="Arial" w:cs="Arial"/>
          <w:b/>
          <w:lang w:val="en-GB"/>
        </w:rPr>
        <w:t>he Role of OER in university di</w:t>
      </w:r>
      <w:r w:rsidRPr="004C48B2">
        <w:rPr>
          <w:rFonts w:ascii="Arial" w:hAnsi="Arial" w:cs="Arial"/>
          <w:b/>
          <w:lang w:val="en-GB"/>
        </w:rPr>
        <w:t>dactics</w:t>
      </w:r>
    </w:p>
    <w:p w:rsidR="00740D98" w:rsidRPr="004C48B2" w:rsidRDefault="00740D98" w:rsidP="00EE550A">
      <w:pPr>
        <w:spacing w:after="0"/>
        <w:jc w:val="both"/>
        <w:rPr>
          <w:rFonts w:ascii="Arial" w:hAnsi="Arial" w:cs="Arial"/>
          <w:lang w:val="en-GB"/>
        </w:rPr>
      </w:pPr>
      <w:r w:rsidRPr="004C48B2">
        <w:rPr>
          <w:rFonts w:ascii="Arial" w:hAnsi="Arial" w:cs="Arial"/>
          <w:lang w:val="en-GB"/>
        </w:rPr>
        <w:t xml:space="preserve">Dom Ivana </w:t>
      </w:r>
      <w:proofErr w:type="spellStart"/>
      <w:r w:rsidRPr="004C48B2">
        <w:rPr>
          <w:rFonts w:ascii="Arial" w:hAnsi="Arial" w:cs="Arial"/>
          <w:lang w:val="en-GB"/>
        </w:rPr>
        <w:t>Cankarja</w:t>
      </w:r>
      <w:proofErr w:type="spellEnd"/>
      <w:r w:rsidRPr="004C48B2">
        <w:rPr>
          <w:rFonts w:ascii="Arial" w:hAnsi="Arial" w:cs="Arial"/>
          <w:lang w:val="en-GB"/>
        </w:rPr>
        <w:t>,</w:t>
      </w:r>
      <w:r w:rsidR="005C5DF6">
        <w:rPr>
          <w:rFonts w:ascii="Arial" w:hAnsi="Arial" w:cs="Arial"/>
          <w:lang w:val="en-GB"/>
        </w:rPr>
        <w:t xml:space="preserve"> Room A-3, Wednesday 20 Sept. f</w:t>
      </w:r>
      <w:r w:rsidRPr="004C48B2">
        <w:rPr>
          <w:rFonts w:ascii="Arial" w:hAnsi="Arial" w:cs="Arial"/>
          <w:lang w:val="en-GB"/>
        </w:rPr>
        <w:t>r</w:t>
      </w:r>
      <w:r w:rsidR="005C5DF6">
        <w:rPr>
          <w:rFonts w:ascii="Arial" w:hAnsi="Arial" w:cs="Arial"/>
          <w:lang w:val="en-GB"/>
        </w:rPr>
        <w:t>o</w:t>
      </w:r>
      <w:r w:rsidRPr="004C48B2">
        <w:rPr>
          <w:rFonts w:ascii="Arial" w:hAnsi="Arial" w:cs="Arial"/>
          <w:lang w:val="en-GB"/>
        </w:rPr>
        <w:t>m 9.30 to 11.00</w:t>
      </w: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b/>
          <w:sz w:val="28"/>
          <w:lang w:val="en-GB"/>
        </w:rPr>
      </w:pPr>
    </w:p>
    <w:p w:rsidR="00146160" w:rsidRPr="004C48B2" w:rsidRDefault="005C5DF6" w:rsidP="00EE550A">
      <w:pPr>
        <w:spacing w:after="0"/>
        <w:jc w:val="both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Using MOOCs for development of transversal skills</w:t>
      </w:r>
      <w:r w:rsidR="00740D98" w:rsidRPr="004C48B2">
        <w:rPr>
          <w:rFonts w:ascii="Arial" w:hAnsi="Arial" w:cs="Arial"/>
          <w:b/>
          <w:sz w:val="32"/>
          <w:lang w:val="en-GB"/>
        </w:rPr>
        <w:t xml:space="preserve"> </w:t>
      </w: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b/>
          <w:sz w:val="28"/>
          <w:lang w:val="en-GB"/>
        </w:rPr>
      </w:pPr>
    </w:p>
    <w:p w:rsidR="004C48B2" w:rsidRPr="00EE550A" w:rsidRDefault="00EE550A" w:rsidP="00EE550A">
      <w:pPr>
        <w:spacing w:after="0"/>
        <w:jc w:val="both"/>
        <w:rPr>
          <w:rFonts w:ascii="Arial" w:hAnsi="Arial" w:cs="Arial"/>
          <w:b/>
          <w:lang w:val="en-GB"/>
        </w:rPr>
      </w:pPr>
      <w:r w:rsidRPr="00EE550A">
        <w:rPr>
          <w:rFonts w:ascii="Arial" w:hAnsi="Arial" w:cs="Arial"/>
          <w:b/>
          <w:sz w:val="24"/>
          <w:lang w:val="en-GB"/>
        </w:rPr>
        <w:t>1.</w:t>
      </w:r>
      <w:r>
        <w:rPr>
          <w:rFonts w:ascii="Arial" w:hAnsi="Arial" w:cs="Arial"/>
          <w:b/>
          <w:lang w:val="en-GB"/>
        </w:rPr>
        <w:t xml:space="preserve"> </w:t>
      </w:r>
      <w:r w:rsidR="004C48B2" w:rsidRPr="00EE550A">
        <w:rPr>
          <w:rFonts w:ascii="Arial" w:hAnsi="Arial" w:cs="Arial"/>
          <w:b/>
          <w:lang w:val="en-GB"/>
        </w:rPr>
        <w:t xml:space="preserve">MOOCs and “formal” </w:t>
      </w:r>
      <w:r w:rsidRPr="00EE550A">
        <w:rPr>
          <w:rFonts w:ascii="Arial" w:hAnsi="Arial" w:cs="Arial"/>
          <w:b/>
          <w:lang w:val="en-GB"/>
        </w:rPr>
        <w:t>online learning courses</w:t>
      </w:r>
      <w:r w:rsidR="004C48B2" w:rsidRPr="00EE550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at DOBA Business School</w:t>
      </w:r>
    </w:p>
    <w:p w:rsidR="00EE550A" w:rsidRDefault="00EE550A" w:rsidP="00EE550A">
      <w:pPr>
        <w:spacing w:after="0"/>
        <w:jc w:val="both"/>
        <w:rPr>
          <w:rFonts w:ascii="Arial" w:hAnsi="Arial" w:cs="Arial"/>
          <w:lang w:val="en-GB"/>
        </w:rPr>
      </w:pPr>
    </w:p>
    <w:p w:rsidR="00EE550A" w:rsidRDefault="00EE550A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C942C8" w:rsidRPr="00C942C8">
        <w:rPr>
          <w:rFonts w:ascii="Arial" w:hAnsi="Arial" w:cs="Arial"/>
          <w:lang w:val="en-GB"/>
        </w:rPr>
        <w:t xml:space="preserve">OBA Business School has 15 years of experience with fully online learning </w:t>
      </w:r>
      <w:r w:rsidR="005F5B6A">
        <w:rPr>
          <w:rFonts w:ascii="Arial" w:hAnsi="Arial" w:cs="Arial"/>
          <w:lang w:val="en-GB"/>
        </w:rPr>
        <w:t xml:space="preserve">courses </w:t>
      </w:r>
      <w:r w:rsidR="00C942C8" w:rsidRPr="00C942C8">
        <w:rPr>
          <w:rFonts w:ascii="Arial" w:hAnsi="Arial" w:cs="Arial"/>
          <w:lang w:val="en-GB"/>
        </w:rPr>
        <w:t xml:space="preserve">to obtain higher education degree. </w:t>
      </w:r>
      <w:r w:rsidR="00C942C8">
        <w:rPr>
          <w:rFonts w:ascii="Arial" w:hAnsi="Arial" w:cs="Arial"/>
          <w:lang w:val="en-GB"/>
        </w:rPr>
        <w:t>DOBA’s model of online learning is based on the principles of social constructivism, collaborative and problem-oriented learning and interactivity.</w:t>
      </w:r>
    </w:p>
    <w:p w:rsidR="00C942C8" w:rsidRDefault="00C942C8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EE550A" w:rsidRDefault="005F5B6A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Massive online open courses (MOOCs) are substantially different from online learning courses (self-paced, less interactive, encourage student-to-student feedback over teacher-to-student feedback, less stringent with evaluating learning outcomes and competences</w:t>
      </w:r>
      <w:r w:rsidR="008C521B">
        <w:rPr>
          <w:rFonts w:ascii="Arial" w:hAnsi="Arial" w:cs="Arial"/>
          <w:lang w:val="en-GB"/>
        </w:rPr>
        <w:t>) and better fit in the context of lifelong learning than in the context of formal higher education.</w:t>
      </w:r>
    </w:p>
    <w:p w:rsidR="005F5B6A" w:rsidRDefault="008C521B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034DA8" w:rsidRPr="00C942C8" w:rsidRDefault="00034DA8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addition to online learning courses, which remain the core business, DOBA Business School aims to strengthen its position in the segment of lifelong learning with implementation of MOOCs </w:t>
      </w:r>
      <w:r w:rsidR="005C5DF6">
        <w:rPr>
          <w:rFonts w:ascii="Arial" w:hAnsi="Arial" w:cs="Arial"/>
          <w:lang w:val="en-GB"/>
        </w:rPr>
        <w:t xml:space="preserve">on various topics, primarily on development of transversal skills. </w:t>
      </w:r>
    </w:p>
    <w:p w:rsidR="00EE550A" w:rsidRDefault="00EE550A" w:rsidP="00EE550A">
      <w:pPr>
        <w:spacing w:after="0"/>
        <w:jc w:val="both"/>
        <w:rPr>
          <w:rFonts w:ascii="Arial" w:hAnsi="Arial" w:cs="Arial"/>
          <w:b/>
          <w:sz w:val="24"/>
          <w:lang w:val="en-GB"/>
        </w:rPr>
      </w:pPr>
    </w:p>
    <w:p w:rsidR="00146160" w:rsidRPr="004C48B2" w:rsidRDefault="00EE550A" w:rsidP="00EE550A">
      <w:pPr>
        <w:spacing w:after="0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2</w:t>
      </w:r>
      <w:r w:rsidR="005B7684" w:rsidRPr="004C48B2">
        <w:rPr>
          <w:rFonts w:ascii="Arial" w:hAnsi="Arial" w:cs="Arial"/>
          <w:b/>
          <w:sz w:val="24"/>
          <w:lang w:val="en-GB"/>
        </w:rPr>
        <w:t xml:space="preserve">. </w:t>
      </w:r>
      <w:r w:rsidR="00146160" w:rsidRPr="004C48B2">
        <w:rPr>
          <w:rFonts w:ascii="Arial" w:hAnsi="Arial" w:cs="Arial"/>
          <w:b/>
          <w:sz w:val="24"/>
          <w:lang w:val="en-GB"/>
        </w:rPr>
        <w:t xml:space="preserve">Objectives of the </w:t>
      </w:r>
      <w:r>
        <w:rPr>
          <w:rFonts w:ascii="Arial" w:hAnsi="Arial" w:cs="Arial"/>
          <w:b/>
          <w:sz w:val="24"/>
          <w:lang w:val="en-GB"/>
        </w:rPr>
        <w:t>presentation</w:t>
      </w:r>
    </w:p>
    <w:p w:rsidR="00613EFE" w:rsidRPr="004C48B2" w:rsidRDefault="00613EFE" w:rsidP="00EE550A">
      <w:pPr>
        <w:spacing w:after="0"/>
        <w:jc w:val="both"/>
        <w:rPr>
          <w:rFonts w:ascii="Arial" w:hAnsi="Arial" w:cs="Arial"/>
          <w:b/>
          <w:sz w:val="24"/>
          <w:lang w:val="en-GB"/>
        </w:rPr>
      </w:pPr>
    </w:p>
    <w:p w:rsidR="00613EFE" w:rsidRDefault="00EE550A" w:rsidP="00EE550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objective of this presentation is:</w:t>
      </w:r>
    </w:p>
    <w:p w:rsidR="00EE550A" w:rsidRPr="00EE550A" w:rsidRDefault="00EE550A" w:rsidP="00EE550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EE550A">
        <w:rPr>
          <w:rFonts w:ascii="Arial" w:eastAsiaTheme="minorHAnsi" w:hAnsi="Arial" w:cs="Arial"/>
          <w:sz w:val="22"/>
          <w:szCs w:val="22"/>
          <w:lang w:val="en-GB" w:eastAsia="en-US"/>
        </w:rPr>
        <w:t>to share the experience of DOBA Business School with development and implementation of its first MOOC on teamwork and</w:t>
      </w:r>
      <w:r w:rsidR="001D13D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development of teamwork skills;</w:t>
      </w:r>
    </w:p>
    <w:p w:rsidR="00EE550A" w:rsidRPr="00EE550A" w:rsidRDefault="00EE550A" w:rsidP="00EE550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proofErr w:type="gramStart"/>
      <w:r w:rsidRPr="00EE550A">
        <w:rPr>
          <w:rFonts w:ascii="Arial" w:eastAsiaTheme="minorHAnsi" w:hAnsi="Arial" w:cs="Arial"/>
          <w:sz w:val="22"/>
          <w:szCs w:val="22"/>
          <w:lang w:val="en-GB" w:eastAsia="en-US"/>
        </w:rPr>
        <w:t>to</w:t>
      </w:r>
      <w:proofErr w:type="gramEnd"/>
      <w:r w:rsidRPr="00EE550A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discuss the usability of a revised model of the MOOC for development of transversal skills. </w:t>
      </w:r>
    </w:p>
    <w:p w:rsidR="004964E7" w:rsidRPr="004C48B2" w:rsidRDefault="004964E7" w:rsidP="00EE550A">
      <w:pPr>
        <w:spacing w:after="0"/>
        <w:jc w:val="both"/>
        <w:rPr>
          <w:rFonts w:ascii="Arial" w:hAnsi="Arial" w:cs="Arial"/>
          <w:lang w:val="en-GB"/>
        </w:rPr>
      </w:pPr>
    </w:p>
    <w:p w:rsidR="00613EFE" w:rsidRPr="004C48B2" w:rsidRDefault="00EE550A" w:rsidP="00EE550A">
      <w:pPr>
        <w:spacing w:after="0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3.</w:t>
      </w:r>
      <w:r w:rsidR="005B7684" w:rsidRPr="004C48B2">
        <w:rPr>
          <w:rFonts w:ascii="Arial" w:hAnsi="Arial" w:cs="Arial"/>
          <w:b/>
          <w:sz w:val="24"/>
          <w:lang w:val="en-GB"/>
        </w:rPr>
        <w:t xml:space="preserve"> </w:t>
      </w:r>
      <w:r>
        <w:rPr>
          <w:rFonts w:ascii="Arial" w:hAnsi="Arial" w:cs="Arial"/>
          <w:b/>
          <w:sz w:val="24"/>
          <w:lang w:val="en-GB"/>
        </w:rPr>
        <w:t>Background and key research question</w:t>
      </w:r>
      <w:r w:rsidR="00462AFB">
        <w:rPr>
          <w:rFonts w:ascii="Arial" w:hAnsi="Arial" w:cs="Arial"/>
          <w:b/>
          <w:sz w:val="24"/>
          <w:lang w:val="en-GB"/>
        </w:rPr>
        <w:t>s</w:t>
      </w:r>
    </w:p>
    <w:p w:rsidR="004964E7" w:rsidRPr="004C48B2" w:rsidRDefault="004964E7" w:rsidP="00EE550A">
      <w:pPr>
        <w:spacing w:after="0"/>
        <w:jc w:val="both"/>
        <w:rPr>
          <w:rFonts w:ascii="Arial" w:hAnsi="Arial" w:cs="Arial"/>
          <w:b/>
          <w:sz w:val="24"/>
          <w:lang w:val="en-GB"/>
        </w:rPr>
      </w:pPr>
    </w:p>
    <w:p w:rsidR="00E84F04" w:rsidRDefault="00E84F04" w:rsidP="00E84F04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t xml:space="preserve">Development, implementation and evaluation </w:t>
      </w:r>
      <w:r w:rsidR="00EE03DD">
        <w:rPr>
          <w:rFonts w:ascii="Arial" w:eastAsiaTheme="minorHAnsi" w:hAnsi="Arial" w:cs="Arial"/>
          <w:sz w:val="22"/>
          <w:szCs w:val="22"/>
          <w:lang w:val="en-GB" w:eastAsia="en-US"/>
        </w:rPr>
        <w:t xml:space="preserve">of the MOOC on teamwork </w:t>
      </w:r>
      <w:proofErr w:type="gramStart"/>
      <w:r w:rsidR="00EE03DD">
        <w:rPr>
          <w:rFonts w:ascii="Arial" w:eastAsiaTheme="minorHAnsi" w:hAnsi="Arial" w:cs="Arial"/>
          <w:sz w:val="22"/>
          <w:szCs w:val="22"/>
          <w:lang w:val="en-GB" w:eastAsia="en-US"/>
        </w:rPr>
        <w:t>is</w:t>
      </w:r>
      <w:proofErr w:type="gramEnd"/>
      <w:r w:rsidRPr="00E84F0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part of the Erasmus+ project DESTINY (Developing Employability Skills Through Innovative education using MOOCs for Youth). </w:t>
      </w:r>
    </w:p>
    <w:p w:rsidR="00E84F04" w:rsidRDefault="00E84F04" w:rsidP="00E84F04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613EFE" w:rsidRPr="00E84F04" w:rsidRDefault="00E84F04" w:rsidP="00E84F04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E84F04">
        <w:rPr>
          <w:rFonts w:ascii="Arial" w:eastAsiaTheme="minorHAnsi" w:hAnsi="Arial" w:cs="Arial"/>
          <w:sz w:val="22"/>
          <w:szCs w:val="22"/>
          <w:lang w:val="en-GB" w:eastAsia="en-US"/>
        </w:rPr>
        <w:t>The rationale of the project is to develop, implement, test and refine a method for higher education institutions to promote and support the use of MOOCs as a tool to address the shortage of transversal skills in local labour markets, thereby improving employability of youth and adult learners.</w:t>
      </w:r>
    </w:p>
    <w:p w:rsidR="005E7DF0" w:rsidRDefault="005E7DF0" w:rsidP="00EE550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b/>
          <w:bCs/>
          <w:lang w:val="en-GB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3D40BF" w:rsidRPr="00462AFB" w:rsidRDefault="00462AFB" w:rsidP="00EE550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462AFB">
        <w:rPr>
          <w:rFonts w:ascii="Arial" w:eastAsiaTheme="minorHAnsi" w:hAnsi="Arial" w:cs="Arial"/>
          <w:sz w:val="22"/>
          <w:szCs w:val="22"/>
          <w:lang w:val="en-GB" w:eastAsia="en-US"/>
        </w:rPr>
        <w:lastRenderedPageBreak/>
        <w:t>We have tested whether inclusion of additional interactive elements that have proven to be beneficial in online learning</w:t>
      </w:r>
      <w:r w:rsidR="006E66B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6E66B4" w:rsidRPr="00462AFB">
        <w:rPr>
          <w:rFonts w:ascii="Arial" w:eastAsiaTheme="minorHAnsi" w:hAnsi="Arial" w:cs="Arial"/>
          <w:sz w:val="22"/>
          <w:szCs w:val="22"/>
          <w:lang w:val="en-GB" w:eastAsia="en-US"/>
        </w:rPr>
        <w:t>(in the form of interactive virtual sessions</w:t>
      </w:r>
      <w:r w:rsidR="006E66B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– MOOC Study Clubs</w:t>
      </w:r>
      <w:r w:rsidR="006E66B4" w:rsidRPr="00462AFB">
        <w:rPr>
          <w:rFonts w:ascii="Arial" w:eastAsiaTheme="minorHAnsi" w:hAnsi="Arial" w:cs="Arial"/>
          <w:sz w:val="22"/>
          <w:szCs w:val="22"/>
          <w:lang w:val="en-GB" w:eastAsia="en-US"/>
        </w:rPr>
        <w:t>)</w:t>
      </w:r>
      <w:r w:rsidRPr="00462AFB">
        <w:rPr>
          <w:rFonts w:ascii="Arial" w:eastAsiaTheme="minorHAnsi" w:hAnsi="Arial" w:cs="Arial"/>
          <w:sz w:val="22"/>
          <w:szCs w:val="22"/>
          <w:lang w:val="en-GB" w:eastAsia="en-US"/>
        </w:rPr>
        <w:t>, would:</w:t>
      </w:r>
    </w:p>
    <w:p w:rsidR="00462AFB" w:rsidRPr="00462AFB" w:rsidRDefault="00462AFB" w:rsidP="00462AFB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462AFB">
        <w:rPr>
          <w:rFonts w:ascii="Arial" w:eastAsiaTheme="minorHAnsi" w:hAnsi="Arial" w:cs="Arial"/>
          <w:sz w:val="22"/>
          <w:szCs w:val="22"/>
          <w:lang w:val="en-GB" w:eastAsia="en-US"/>
        </w:rPr>
        <w:t>contribute to development of teamwork</w:t>
      </w:r>
      <w:r w:rsidRPr="00EE03DD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skills that would otherwise, following the predominantly passive learning ap</w:t>
      </w:r>
      <w:r>
        <w:rPr>
          <w:rFonts w:ascii="Arial" w:eastAsiaTheme="minorHAnsi" w:hAnsi="Arial" w:cs="Arial"/>
          <w:sz w:val="22"/>
          <w:szCs w:val="22"/>
          <w:lang w:val="en-GB" w:eastAsia="en-US"/>
        </w:rPr>
        <w:t>proach in MOOCs, hardly develop;</w:t>
      </w:r>
    </w:p>
    <w:p w:rsidR="00462AFB" w:rsidRPr="00462AFB" w:rsidRDefault="00462AFB" w:rsidP="00462AFB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proofErr w:type="gramStart"/>
      <w:r w:rsidRPr="00462AFB">
        <w:rPr>
          <w:rFonts w:ascii="Arial" w:eastAsiaTheme="minorHAnsi" w:hAnsi="Arial" w:cs="Arial"/>
          <w:sz w:val="22"/>
          <w:szCs w:val="22"/>
          <w:lang w:val="en-GB" w:eastAsia="en-US"/>
        </w:rPr>
        <w:t>contribute</w:t>
      </w:r>
      <w:proofErr w:type="gramEnd"/>
      <w:r w:rsidRPr="00462AFB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to higher completion rate of the MOOC (considering relatively low average completion rates in MOOCs). </w:t>
      </w:r>
    </w:p>
    <w:p w:rsidR="00EE03DD" w:rsidRDefault="00EE03DD" w:rsidP="00EE550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536F9A" w:rsidRPr="004C48B2" w:rsidRDefault="00C37B12" w:rsidP="00EE550A">
      <w:pPr>
        <w:pStyle w:val="Default"/>
        <w:spacing w:line="276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536F9A" w:rsidRPr="004C48B2">
        <w:rPr>
          <w:rFonts w:ascii="Arial" w:hAnsi="Arial" w:cs="Arial"/>
          <w:b/>
          <w:lang w:val="en-GB"/>
        </w:rPr>
        <w:t xml:space="preserve">. </w:t>
      </w:r>
      <w:r>
        <w:rPr>
          <w:rFonts w:ascii="Arial" w:hAnsi="Arial" w:cs="Arial"/>
          <w:b/>
          <w:lang w:val="en-GB"/>
        </w:rPr>
        <w:t>Approach</w:t>
      </w:r>
    </w:p>
    <w:p w:rsidR="00536F9A" w:rsidRPr="004C48B2" w:rsidRDefault="00536F9A" w:rsidP="00EE550A">
      <w:pPr>
        <w:pStyle w:val="Default"/>
        <w:spacing w:line="276" w:lineRule="auto"/>
        <w:jc w:val="both"/>
        <w:rPr>
          <w:rFonts w:ascii="Arial" w:hAnsi="Arial" w:cs="Arial"/>
          <w:color w:val="auto"/>
          <w:lang w:val="en-GB"/>
        </w:rPr>
      </w:pPr>
    </w:p>
    <w:p w:rsidR="00C37B12" w:rsidRDefault="00C37B12" w:rsidP="00EE550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  <w:r>
        <w:rPr>
          <w:rFonts w:ascii="Arial" w:hAnsi="Arial" w:cs="Arial"/>
          <w:color w:val="auto"/>
          <w:sz w:val="22"/>
          <w:szCs w:val="30"/>
          <w:lang w:val="en-GB"/>
        </w:rPr>
        <w:t>C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ase study </w:t>
      </w:r>
      <w:r>
        <w:rPr>
          <w:rFonts w:ascii="Arial" w:hAnsi="Arial" w:cs="Arial"/>
          <w:color w:val="auto"/>
          <w:sz w:val="22"/>
          <w:szCs w:val="30"/>
          <w:lang w:val="en-GB"/>
        </w:rPr>
        <w:t>approach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was adopted</w:t>
      </w:r>
      <w:r>
        <w:rPr>
          <w:rFonts w:ascii="Arial" w:hAnsi="Arial" w:cs="Arial"/>
          <w:color w:val="auto"/>
          <w:sz w:val="22"/>
          <w:szCs w:val="30"/>
          <w:lang w:val="en-GB"/>
        </w:rPr>
        <w:t xml:space="preserve"> and it consisted of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30"/>
          <w:lang w:val="en-GB"/>
        </w:rPr>
        <w:t>t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>he pilot</w:t>
      </w:r>
      <w:r>
        <w:rPr>
          <w:rFonts w:ascii="Arial" w:hAnsi="Arial" w:cs="Arial"/>
          <w:color w:val="auto"/>
          <w:sz w:val="22"/>
          <w:szCs w:val="30"/>
          <w:lang w:val="en-GB"/>
        </w:rPr>
        <w:t xml:space="preserve"> and the follow-up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implementation </w:t>
      </w:r>
      <w:r>
        <w:rPr>
          <w:rFonts w:ascii="Arial" w:hAnsi="Arial" w:cs="Arial"/>
          <w:color w:val="auto"/>
          <w:sz w:val="22"/>
          <w:szCs w:val="30"/>
          <w:lang w:val="en-GB"/>
        </w:rPr>
        <w:t xml:space="preserve">of the MOOC on teamwork. 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A few recommendations and adjustments have been identified </w:t>
      </w:r>
      <w:r w:rsidR="00FA032C">
        <w:rPr>
          <w:rFonts w:ascii="Arial" w:hAnsi="Arial" w:cs="Arial"/>
          <w:color w:val="auto"/>
          <w:sz w:val="22"/>
          <w:szCs w:val="30"/>
          <w:lang w:val="en-GB"/>
        </w:rPr>
        <w:t xml:space="preserve">and implemented in the follow-up implementation, 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in order to make </w:t>
      </w:r>
      <w:r w:rsidR="00FA032C">
        <w:rPr>
          <w:rFonts w:ascii="Arial" w:hAnsi="Arial" w:cs="Arial"/>
          <w:color w:val="auto"/>
          <w:sz w:val="22"/>
          <w:szCs w:val="30"/>
          <w:lang w:val="en-GB"/>
        </w:rPr>
        <w:t>the MOOC more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suitable for mass attendance and to sti</w:t>
      </w:r>
      <w:r w:rsidR="00FA032C">
        <w:rPr>
          <w:rFonts w:ascii="Arial" w:hAnsi="Arial" w:cs="Arial"/>
          <w:color w:val="auto"/>
          <w:sz w:val="22"/>
          <w:szCs w:val="30"/>
          <w:lang w:val="en-GB"/>
        </w:rPr>
        <w:t>mulate higher completion rate</w:t>
      </w:r>
      <w:r>
        <w:rPr>
          <w:rFonts w:ascii="Arial" w:hAnsi="Arial" w:cs="Arial"/>
          <w:color w:val="auto"/>
          <w:sz w:val="22"/>
          <w:szCs w:val="30"/>
          <w:lang w:val="en-GB"/>
        </w:rPr>
        <w:t>: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</w:t>
      </w:r>
    </w:p>
    <w:p w:rsidR="00C37B12" w:rsidRDefault="00C37B12" w:rsidP="00C37B12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implementation in native language, </w:t>
      </w:r>
    </w:p>
    <w:p w:rsidR="00C37B12" w:rsidRDefault="00C37B12" w:rsidP="00C37B12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adaptation of tasks and assignments in terms of number and complexity, </w:t>
      </w:r>
    </w:p>
    <w:p w:rsidR="00FA40E8" w:rsidRPr="004C48B2" w:rsidRDefault="00C37B12" w:rsidP="00C37B12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  <w:proofErr w:type="gramStart"/>
      <w:r w:rsidRPr="00C37B12">
        <w:rPr>
          <w:rFonts w:ascii="Arial" w:hAnsi="Arial" w:cs="Arial"/>
          <w:color w:val="auto"/>
          <w:sz w:val="22"/>
          <w:szCs w:val="30"/>
          <w:lang w:val="en-GB"/>
        </w:rPr>
        <w:t>modification</w:t>
      </w:r>
      <w:proofErr w:type="gramEnd"/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of </w:t>
      </w:r>
      <w:r>
        <w:rPr>
          <w:rFonts w:ascii="Arial" w:hAnsi="Arial" w:cs="Arial"/>
          <w:color w:val="auto"/>
          <w:sz w:val="22"/>
          <w:szCs w:val="30"/>
          <w:lang w:val="en-GB"/>
        </w:rPr>
        <w:t>MOOC Study Clubs (MSCs) to make them</w:t>
      </w:r>
      <w:r w:rsidRPr="00C37B12">
        <w:rPr>
          <w:rFonts w:ascii="Arial" w:hAnsi="Arial" w:cs="Arial"/>
          <w:color w:val="auto"/>
          <w:sz w:val="22"/>
          <w:szCs w:val="30"/>
          <w:lang w:val="en-GB"/>
        </w:rPr>
        <w:t xml:space="preserve"> more experiential and tied up to particular content-specific units.</w:t>
      </w:r>
    </w:p>
    <w:p w:rsidR="00FA40E8" w:rsidRPr="004C48B2" w:rsidRDefault="00FA40E8" w:rsidP="00EE550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</w:p>
    <w:p w:rsidR="00F94737" w:rsidRPr="004C48B2" w:rsidRDefault="00BD56A6" w:rsidP="00EE550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Cs w:val="30"/>
          <w:lang w:val="en-GB"/>
        </w:rPr>
      </w:pPr>
      <w:r>
        <w:rPr>
          <w:rFonts w:ascii="Arial" w:hAnsi="Arial" w:cs="Arial"/>
          <w:b/>
          <w:color w:val="auto"/>
          <w:szCs w:val="30"/>
          <w:lang w:val="en-GB"/>
        </w:rPr>
        <w:t>5</w:t>
      </w:r>
      <w:r w:rsidR="00FC319C">
        <w:rPr>
          <w:rFonts w:ascii="Arial" w:hAnsi="Arial" w:cs="Arial"/>
          <w:b/>
          <w:color w:val="auto"/>
          <w:szCs w:val="30"/>
          <w:lang w:val="en-GB"/>
        </w:rPr>
        <w:t>. Results</w:t>
      </w:r>
      <w:r w:rsidR="001D13D4">
        <w:rPr>
          <w:rFonts w:ascii="Arial" w:hAnsi="Arial" w:cs="Arial"/>
          <w:b/>
          <w:color w:val="auto"/>
          <w:szCs w:val="30"/>
          <w:lang w:val="en-GB"/>
        </w:rPr>
        <w:t xml:space="preserve"> and discussion</w:t>
      </w:r>
    </w:p>
    <w:p w:rsidR="00FA40E8" w:rsidRPr="004C48B2" w:rsidRDefault="00FA40E8" w:rsidP="00EE550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Cs w:val="30"/>
          <w:lang w:val="en-GB"/>
        </w:rPr>
      </w:pPr>
    </w:p>
    <w:p w:rsidR="00146160" w:rsidRPr="00FC319C" w:rsidRDefault="009A3EC9" w:rsidP="00FC319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30"/>
          <w:lang w:val="en-GB"/>
        </w:rPr>
      </w:pPr>
      <w:r>
        <w:rPr>
          <w:rFonts w:ascii="Arial" w:hAnsi="Arial" w:cs="Arial"/>
          <w:color w:val="auto"/>
          <w:sz w:val="22"/>
          <w:szCs w:val="30"/>
          <w:lang w:val="en-GB"/>
        </w:rPr>
        <w:t>T</w:t>
      </w:r>
      <w:r w:rsidR="00FC319C" w:rsidRPr="00FC319C">
        <w:rPr>
          <w:rFonts w:ascii="Arial" w:hAnsi="Arial" w:cs="Arial"/>
          <w:color w:val="auto"/>
          <w:sz w:val="22"/>
          <w:szCs w:val="30"/>
          <w:lang w:val="en-GB"/>
        </w:rPr>
        <w:t xml:space="preserve">he </w:t>
      </w:r>
      <w:r>
        <w:rPr>
          <w:rFonts w:ascii="Arial" w:hAnsi="Arial" w:cs="Arial"/>
          <w:color w:val="auto"/>
          <w:sz w:val="22"/>
          <w:szCs w:val="30"/>
          <w:lang w:val="en-GB"/>
        </w:rPr>
        <w:t>author will discuss the implications of evaluation results and</w:t>
      </w:r>
      <w:r w:rsidR="00FC319C" w:rsidRPr="00FC319C">
        <w:rPr>
          <w:rFonts w:ascii="Arial" w:hAnsi="Arial" w:cs="Arial"/>
          <w:color w:val="auto"/>
          <w:sz w:val="22"/>
          <w:szCs w:val="30"/>
          <w:lang w:val="en-GB"/>
        </w:rPr>
        <w:t xml:space="preserve"> recommendations for future development and imp</w:t>
      </w:r>
      <w:r>
        <w:rPr>
          <w:rFonts w:ascii="Arial" w:hAnsi="Arial" w:cs="Arial"/>
          <w:color w:val="auto"/>
          <w:sz w:val="22"/>
          <w:szCs w:val="30"/>
          <w:lang w:val="en-GB"/>
        </w:rPr>
        <w:t>lementation of MOOCs, particularly with a reference to</w:t>
      </w:r>
      <w:r w:rsidR="00FC319C" w:rsidRPr="00FC319C">
        <w:rPr>
          <w:rFonts w:ascii="Arial" w:hAnsi="Arial" w:cs="Arial"/>
          <w:color w:val="auto"/>
          <w:sz w:val="22"/>
          <w:szCs w:val="30"/>
          <w:lang w:val="en-GB"/>
        </w:rPr>
        <w:t xml:space="preserve"> higher education institutions</w:t>
      </w:r>
      <w:r>
        <w:rPr>
          <w:rFonts w:ascii="Arial" w:hAnsi="Arial" w:cs="Arial"/>
          <w:color w:val="auto"/>
          <w:sz w:val="22"/>
          <w:szCs w:val="30"/>
          <w:lang w:val="en-GB"/>
        </w:rPr>
        <w:t xml:space="preserve"> and to language-specific markets, such as Slovenia</w:t>
      </w:r>
      <w:r w:rsidR="00FC319C" w:rsidRPr="00FC319C">
        <w:rPr>
          <w:rFonts w:ascii="Arial" w:hAnsi="Arial" w:cs="Arial"/>
          <w:color w:val="auto"/>
          <w:sz w:val="22"/>
          <w:szCs w:val="30"/>
          <w:lang w:val="en-GB"/>
        </w:rPr>
        <w:t>.</w:t>
      </w: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sz w:val="24"/>
          <w:lang w:val="en-GB"/>
        </w:rPr>
      </w:pP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sz w:val="24"/>
          <w:lang w:val="en-GB"/>
        </w:rPr>
      </w:pP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sz w:val="24"/>
          <w:lang w:val="en-GB"/>
        </w:rPr>
      </w:pPr>
    </w:p>
    <w:p w:rsidR="00146160" w:rsidRPr="004C48B2" w:rsidRDefault="00146160" w:rsidP="00EE550A">
      <w:pPr>
        <w:spacing w:after="0"/>
        <w:jc w:val="both"/>
        <w:rPr>
          <w:rFonts w:ascii="Arial" w:hAnsi="Arial" w:cs="Arial"/>
          <w:sz w:val="24"/>
          <w:lang w:val="en-GB"/>
        </w:rPr>
      </w:pPr>
    </w:p>
    <w:sectPr w:rsidR="00146160" w:rsidRPr="004C48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13" w:rsidRDefault="00753013" w:rsidP="005E7DF0">
      <w:pPr>
        <w:spacing w:after="0" w:line="240" w:lineRule="auto"/>
      </w:pPr>
      <w:r>
        <w:separator/>
      </w:r>
    </w:p>
  </w:endnote>
  <w:endnote w:type="continuationSeparator" w:id="0">
    <w:p w:rsidR="00753013" w:rsidRDefault="00753013" w:rsidP="005E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13" w:rsidRDefault="00753013" w:rsidP="005E7DF0">
      <w:pPr>
        <w:spacing w:after="0" w:line="240" w:lineRule="auto"/>
      </w:pPr>
      <w:r>
        <w:separator/>
      </w:r>
    </w:p>
  </w:footnote>
  <w:footnote w:type="continuationSeparator" w:id="0">
    <w:p w:rsidR="00753013" w:rsidRDefault="00753013" w:rsidP="005E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5296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7DF0" w:rsidRDefault="005E7D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DF0" w:rsidRDefault="005E7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artC7A8"/>
      </v:shape>
    </w:pict>
  </w:numPicBullet>
  <w:abstractNum w:abstractNumId="0">
    <w:nsid w:val="02A7795E"/>
    <w:multiLevelType w:val="hybridMultilevel"/>
    <w:tmpl w:val="9AF2BBE8"/>
    <w:lvl w:ilvl="0" w:tplc="2C60E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EE5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0D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C6A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0C8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BD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860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64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0E4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E2379E"/>
    <w:multiLevelType w:val="hybridMultilevel"/>
    <w:tmpl w:val="DBF4D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7E9"/>
    <w:multiLevelType w:val="hybridMultilevel"/>
    <w:tmpl w:val="9AE0FA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7722"/>
    <w:multiLevelType w:val="hybridMultilevel"/>
    <w:tmpl w:val="50C86DE0"/>
    <w:lvl w:ilvl="0" w:tplc="B8E60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ED3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698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6F0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46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72CE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AFE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AC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4C9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272589"/>
    <w:multiLevelType w:val="hybridMultilevel"/>
    <w:tmpl w:val="9814D142"/>
    <w:lvl w:ilvl="0" w:tplc="D4D200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4E21"/>
    <w:multiLevelType w:val="hybridMultilevel"/>
    <w:tmpl w:val="2F8C81A4"/>
    <w:lvl w:ilvl="0" w:tplc="FFEE1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645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A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07D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E2A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E5E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8FC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E83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436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FBE29E0"/>
    <w:multiLevelType w:val="hybridMultilevel"/>
    <w:tmpl w:val="4364B08C"/>
    <w:lvl w:ilvl="0" w:tplc="6ACA2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4AD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C18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C84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0DF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02A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82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21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8B0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0"/>
    <w:rsid w:val="00034DA8"/>
    <w:rsid w:val="00146160"/>
    <w:rsid w:val="001D13D4"/>
    <w:rsid w:val="00230A2E"/>
    <w:rsid w:val="002F0449"/>
    <w:rsid w:val="003D40BF"/>
    <w:rsid w:val="003E3B2C"/>
    <w:rsid w:val="004051F0"/>
    <w:rsid w:val="00452D4D"/>
    <w:rsid w:val="00462AFB"/>
    <w:rsid w:val="0046580F"/>
    <w:rsid w:val="004964E7"/>
    <w:rsid w:val="004B0CC9"/>
    <w:rsid w:val="004C48B2"/>
    <w:rsid w:val="00536F9A"/>
    <w:rsid w:val="005B7684"/>
    <w:rsid w:val="005C5DF6"/>
    <w:rsid w:val="005E7DF0"/>
    <w:rsid w:val="005F5B6A"/>
    <w:rsid w:val="00613EFE"/>
    <w:rsid w:val="006664AA"/>
    <w:rsid w:val="006A4FFC"/>
    <w:rsid w:val="006E66B4"/>
    <w:rsid w:val="00740D98"/>
    <w:rsid w:val="00753013"/>
    <w:rsid w:val="008C521B"/>
    <w:rsid w:val="008F637F"/>
    <w:rsid w:val="009A3EC9"/>
    <w:rsid w:val="00A073D4"/>
    <w:rsid w:val="00B35591"/>
    <w:rsid w:val="00BD56A6"/>
    <w:rsid w:val="00C153CA"/>
    <w:rsid w:val="00C37B12"/>
    <w:rsid w:val="00C942C8"/>
    <w:rsid w:val="00C9493E"/>
    <w:rsid w:val="00CB13C1"/>
    <w:rsid w:val="00D93431"/>
    <w:rsid w:val="00E84F04"/>
    <w:rsid w:val="00EE03DD"/>
    <w:rsid w:val="00EE550A"/>
    <w:rsid w:val="00F94737"/>
    <w:rsid w:val="00FA032C"/>
    <w:rsid w:val="00FA40E8"/>
    <w:rsid w:val="00FB1A9C"/>
    <w:rsid w:val="00FC319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3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46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36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F0"/>
  </w:style>
  <w:style w:type="paragraph" w:styleId="Footer">
    <w:name w:val="footer"/>
    <w:basedOn w:val="Normal"/>
    <w:link w:val="FooterChar"/>
    <w:uiPriority w:val="99"/>
    <w:unhideWhenUsed/>
    <w:rsid w:val="005E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46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36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F0"/>
  </w:style>
  <w:style w:type="paragraph" w:styleId="Footer">
    <w:name w:val="footer"/>
    <w:basedOn w:val="Normal"/>
    <w:link w:val="FooterChar"/>
    <w:uiPriority w:val="99"/>
    <w:unhideWhenUsed/>
    <w:rsid w:val="005E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7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Cizelj</dc:creator>
  <cp:lastModifiedBy>Cizelj</cp:lastModifiedBy>
  <cp:revision>2</cp:revision>
  <dcterms:created xsi:type="dcterms:W3CDTF">2017-09-07T15:58:00Z</dcterms:created>
  <dcterms:modified xsi:type="dcterms:W3CDTF">2017-09-07T15:58:00Z</dcterms:modified>
</cp:coreProperties>
</file>